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DDD" w:rsidRDefault="00724DDD">
      <w:pPr>
        <w:spacing w:line="480" w:lineRule="auto"/>
        <w:rPr>
          <w:rFonts w:ascii="Times New Roman" w:eastAsia="Times New Roman" w:hAnsi="Times New Roman" w:cs="Times New Roman"/>
          <w:sz w:val="24"/>
          <w:szCs w:val="24"/>
        </w:rPr>
      </w:pPr>
      <w:bookmarkStart w:id="0" w:name="_GoBack"/>
      <w:bookmarkEnd w:id="0"/>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Indigenous People’s Health in Canada.</w:t>
      </w:r>
    </w:p>
    <w:p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724DDD" w:rsidRDefault="00724DDD">
      <w:pPr>
        <w:spacing w:line="480" w:lineRule="auto"/>
        <w:rPr>
          <w:rFonts w:ascii="Times New Roman" w:eastAsia="Times New Roman" w:hAnsi="Times New Roman" w:cs="Times New Roman"/>
          <w:sz w:val="24"/>
          <w:szCs w:val="24"/>
        </w:rPr>
      </w:pPr>
    </w:p>
    <w:p w:rsidR="00724DDD" w:rsidRDefault="00194C39">
      <w:pPr>
        <w:tabs>
          <w:tab w:val="left" w:pos="18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ind w:firstLine="720"/>
        <w:rPr>
          <w:rFonts w:ascii="Times New Roman" w:eastAsia="Times New Roman" w:hAnsi="Times New Roman" w:cs="Times New Roman"/>
          <w:sz w:val="24"/>
          <w:szCs w:val="24"/>
        </w:rPr>
      </w:pPr>
    </w:p>
    <w:p w:rsidR="00724DDD" w:rsidRDefault="00724DDD">
      <w:pPr>
        <w:spacing w:line="480" w:lineRule="auto"/>
        <w:ind w:firstLine="720"/>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194C39">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Determinants of Indigenous People’s Health in Canada.</w:t>
      </w:r>
    </w:p>
    <w:p w:rsidR="00724DDD" w:rsidRDefault="00194C39">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health are the conditions which are deemed necessary for an individual to survive. They capture a wide context in which individuals are born, grow, live, work, and age. In this setting, Indigenous people in Canada show significant health disparities; they endure continuous suffering as compared to other Canadians (Greenwood, 2015).  Different debates explain that health inequalities in Canada are attributed to increased food insecurity, poverty, and lack of clean drinking water, the prevalence of chronic diseases and growing rates of alcohol and drug abuse. The main determinants of Indigenous people’s health in Canada are the social-economic environments, physical environments and individual behavior; but some scholars have cited that historical contexts, urbanization and social policing, and gender differences as equally significant determinants.</w:t>
      </w:r>
    </w:p>
    <w:p w:rsidR="00724DDD" w:rsidRDefault="00194C39">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Social economic environment</w:t>
      </w:r>
      <w:r>
        <w:rPr>
          <w:rFonts w:ascii="Times New Roman" w:eastAsia="Times New Roman" w:hAnsi="Times New Roman" w:cs="Times New Roman"/>
          <w:sz w:val="24"/>
          <w:szCs w:val="24"/>
        </w:rPr>
        <w:t>.</w:t>
      </w:r>
    </w:p>
    <w:p w:rsidR="00724DDD" w:rsidRDefault="00194C39">
      <w:pPr>
        <w:spacing w:line="480" w:lineRule="auto"/>
        <w:ind w:firstLine="720"/>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Social and economic environments take a central part in determining the health of the Indigenous people of Canada. To begin with, education is a central point in explaining an individual’s health status. Indigenous populations in Canada are poorly endowed with education (Greenwood, 2015). This suggests that the populations have poor health standards. Raphael, (2016) explains that education enlightens people on how to live a healthy life by managing the differences within Aboriginal societies and Non-Indigenous societies, building self-confidence, and understanding the significance of observing hygiene in one’s life. Therefore, low levels of education in Aboriginal regions of Canada supports the idea that the populations have more conflicting differences and reduced self-confidence, hence poor health.</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Income and social status also determine people’s health. Arguably, people with higher levels of income as well as higher social income have better chances of living a healthy life in that they have a variety of resources to meet their health needs unlike the Indigenous people of Canada. Concerning the populations in Canada, a consistent trend has been observed in income distribution, in that the gap between the rich and the poor is widening on a daily basis. With this understanding, urban populations have better income status, which also dictates their social status (Neufeld, 2017). However, some urban populations have low income levels, thus they cannot meet health standards. In contrast, Aboriginal people have deteriorating income distribution. They have limited access to healthcare and other social services. This indicates that they have lower social status and hence greater differences in health. In addition, higher income inequalities among Indigenous populations have led to the emergence of other social risks such as theft, prostitution, and human trafficking as they try to earn a living. Additionally, the poor populations have been linked with drug abuse. This has often worsened the health status of this populace through the spreading of chronic diseases such as HIV/AIDS and other </w:t>
      </w:r>
      <w:r w:rsidR="00594410">
        <w:rPr>
          <w:rFonts w:ascii="Times New Roman" w:eastAsia="Times New Roman" w:hAnsi="Times New Roman" w:cs="Times New Roman"/>
          <w:sz w:val="24"/>
          <w:szCs w:val="24"/>
        </w:rPr>
        <w:t>Sexually Transmitted Infections.</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Presence of social support networks is another essential determinant of people’s health. The Indigenous people of Canada have conservative cultural practices, which have greatly hampered access to better health standards. For instance, communities, families, and friends have failed to join efforts for better health; they have not yet established stable backgrounds for practicing modern medication technologies through community-initiated hospitals, schools, or even churches, which could teach the best health practices. Moreover, the Indigenous community’s culture is quite original in a way that they cannot admit any practice that challenges their traditional way of life (Raphael, 2016). The customs, traditions, and beliefs of the </w:t>
      </w:r>
      <w:r>
        <w:rPr>
          <w:rFonts w:ascii="Times New Roman" w:eastAsia="Times New Roman" w:hAnsi="Times New Roman" w:cs="Times New Roman"/>
          <w:sz w:val="24"/>
          <w:szCs w:val="24"/>
        </w:rPr>
        <w:lastRenderedPageBreak/>
        <w:t xml:space="preserve">community and that of families contradicts the healthcare technology. As such, Aboriginal populations have constantly relied on traditional drugs as a solution to their health issues rather than applying modern practices such as screening and surgery. The communities abide by the traditional </w:t>
      </w:r>
      <w:r>
        <w:rPr>
          <w:rFonts w:ascii="Times New Roman" w:eastAsia="Times New Roman" w:hAnsi="Times New Roman" w:cs="Times New Roman"/>
          <w:sz w:val="24"/>
          <w:szCs w:val="24"/>
          <w:u w:val="single"/>
        </w:rPr>
        <w:t xml:space="preserve">medication </w:t>
      </w:r>
      <w:r>
        <w:rPr>
          <w:rFonts w:ascii="Times New Roman" w:eastAsia="Times New Roman" w:hAnsi="Times New Roman" w:cs="Times New Roman"/>
          <w:sz w:val="24"/>
          <w:szCs w:val="24"/>
        </w:rPr>
        <w:t xml:space="preserve">practices, which have by far failed to cure and sustain wellbeing of the community thus poor health. </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Accessibility of health care services also amplifies the health status of a community (Neufeld, 2017). In this context, the Canadian Indigenous populations have been poorly endowed with health centers. This confirms that the populace has limited to no access to health care services, which are deemed essential for treating and preventing diseases. Thus, the Indigenous people of Canada have shown growing health hazards and deaths due to the outbreak of diseases with no acute response from the nearby health centers, which could have the potential to treat and prevent the continued existence of these </w:t>
      </w:r>
      <w:r w:rsidR="00594410">
        <w:rPr>
          <w:rFonts w:ascii="Times New Roman" w:eastAsia="Times New Roman" w:hAnsi="Times New Roman" w:cs="Times New Roman"/>
          <w:sz w:val="24"/>
          <w:szCs w:val="24"/>
        </w:rPr>
        <w:t>health</w:t>
      </w:r>
      <w:r>
        <w:rPr>
          <w:rFonts w:ascii="Times New Roman" w:eastAsia="Times New Roman" w:hAnsi="Times New Roman" w:cs="Times New Roman"/>
          <w:sz w:val="24"/>
          <w:szCs w:val="24"/>
        </w:rPr>
        <w:t xml:space="preserve"> hazards and deaths. Limited access and use of health services in the local populations of Canada indicates poor health standards.</w:t>
      </w:r>
    </w:p>
    <w:p w:rsidR="00DB5EA6" w:rsidRDefault="00194C39">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The Indigenous people of Canada lack adequate food and agriculture securities (Greenwood, 2015). The local populations are highly dependent on agricultural practices for survival. However, adoption of the emerging production technologies has staged inevitable challenges to the people. As such, use of fertilizers has led to increased nitrates content in food as well as pollution in waterways</w:t>
      </w:r>
      <w:r w:rsidR="00F72C94" w:rsidRPr="00F72C94">
        <w:rPr>
          <w:rFonts w:ascii="Times New Roman" w:eastAsia="Times New Roman" w:hAnsi="Times New Roman" w:cs="Times New Roman"/>
          <w:sz w:val="24"/>
          <w:szCs w:val="24"/>
        </w:rPr>
        <w:t xml:space="preserve">. </w:t>
      </w:r>
      <w:r w:rsidR="00F72C94" w:rsidRPr="00F72C94">
        <w:rPr>
          <w:rFonts w:ascii="Times New Roman" w:eastAsia="Times New Roman" w:hAnsi="Times New Roman" w:cs="Times New Roman"/>
          <w:sz w:val="24"/>
          <w:szCs w:val="24"/>
          <w:highlight w:val="yellow"/>
        </w:rPr>
        <w:t xml:space="preserve">Tobacco farming among the aboriginals has led to alarming misuse of tobacco products by aboriginal youths. As a result of peer pressure, Aboriginal youths influence each other to engage in recreational misuse of commercial tobacco which is highly addictive and harmful as well. Smoking rates among the Aboriginals are increasing, and this projects the community to high levels of individual mortality and mortality and hence socioeconomic burdens to the Indigenous communities as a result of premature deaths. </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Moreover, poor land use mechanisms among the populations have challenged the soil quality and choice of crop to be grown in the regions. The communities rely on traditional food packing, safety and preservation mechanisms that have led to food poisoning and challenges to health through food borne illnesses (Greenwood, 2015).</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exclusion in Canada is another determinant of health.  Local communities have suffered from unequal social and economic networks and integration; the populace has continually been oppressed through lack of access to resources, potentials and rights. Moreover, the local communities have been hindered from fully participating in social life. Indigenous people have lacked adequate access to quality education, and healthcare services, which has widely supported health constraints through reduced income distribution, social networking, and increased unemployment. </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Scholars have also hinted that infrastructure significantly dictates the nature of health in a community. A community with improved roads and means of communication is likely to have better health status (Raphael, 2016). Keenly, the Indigenous populations of Canada lack good infrastructure. Poorly developed roads have intensified the volume of accidents on a daily basis. Children and pedestrians have often been hit while on tracks by vehicles. Poor infrastructure has led to returned economic growth, unemployment and limited access to other support services. The communities have not been able to access emergency health care services. </w:t>
      </w:r>
    </w:p>
    <w:p w:rsidR="00724DDD" w:rsidRDefault="00194C39">
      <w:pPr>
        <w:spacing w:line="480" w:lineRule="auto"/>
        <w:ind w:firstLine="7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Physical Environment.</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physical environment is a collection of factors among human environments and has a critical responsibility in determining the nature of human health. It is comprised of factors such as healthy communities, safe water and clean air, housing and healthy working environments, </w:t>
      </w:r>
      <w:r>
        <w:rPr>
          <w:rFonts w:ascii="Times New Roman" w:eastAsia="Times New Roman" w:hAnsi="Times New Roman" w:cs="Times New Roman"/>
          <w:sz w:val="24"/>
          <w:szCs w:val="24"/>
        </w:rPr>
        <w:lastRenderedPageBreak/>
        <w:t>which all affect health. Additionally, Indigenous Canadian communities have been relying on unsafe waters and air. There is an increased rate of air and water pollution that causes adverse health effects such as congenital disabilities, cancer, gastrointestinal ailments and respiratory illnesses. There is the prevalence of childhood asthma, a dangerous respiratory disease which is highly linked to airborne contaminants.</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Housing is another evidence of poor health among the indigenous communities. Many Indigenous people have poor housing mechanisms that pose a major threat to the well-being of the entire populace. In this regard, the well-being of Indigenous people has been challenged by housing tenure, indoor air quality, outdoor temperatures and prevalence of home accidents (Greenwood, 2015). In essence, poor housing leads to poor mental health.</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Poor waste management among the indigenous populations is another evident health risk. Arguably, Indigenous communities of Canada lack sufficient know-how on managing waste products. They have uncoordinated dumping of wastes, and this has led to transmission of agents of contagious diseases. Improper waste disposal has led to increased exposure to toxic chemicals hence breeding environmental degradation and vulnerability to health-care wastes. These hazardous wastes have led to poor health among the Indigenous people of Canada (</w:t>
      </w:r>
      <w:r>
        <w:rPr>
          <w:rFonts w:ascii="Times New Roman" w:eastAsia="Times New Roman" w:hAnsi="Times New Roman" w:cs="Times New Roman"/>
          <w:color w:val="222222"/>
          <w:sz w:val="24"/>
          <w:szCs w:val="24"/>
          <w:highlight w:val="white"/>
        </w:rPr>
        <w:t>De Leeuw et al., 2015)</w:t>
      </w:r>
      <w:r>
        <w:rPr>
          <w:rFonts w:ascii="Times New Roman" w:eastAsia="Times New Roman" w:hAnsi="Times New Roman" w:cs="Times New Roman"/>
          <w:sz w:val="24"/>
          <w:szCs w:val="24"/>
        </w:rPr>
        <w:t>.</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physical working condition is another factor that dictates the health status of an individual. If the working environment is not endowed with adequate facilities, the work becomes stressful and unsafe. In this concern, </w:t>
      </w:r>
      <w:r w:rsidR="00747826">
        <w:rPr>
          <w:rFonts w:ascii="Times New Roman" w:eastAsia="Times New Roman" w:hAnsi="Times New Roman" w:cs="Times New Roman"/>
          <w:sz w:val="24"/>
          <w:szCs w:val="24"/>
        </w:rPr>
        <w:t>the A</w:t>
      </w:r>
      <w:r w:rsidR="00747826" w:rsidRPr="00747826">
        <w:rPr>
          <w:rFonts w:ascii="Times New Roman" w:eastAsia="Times New Roman" w:hAnsi="Times New Roman" w:cs="Times New Roman"/>
          <w:sz w:val="24"/>
          <w:szCs w:val="24"/>
        </w:rPr>
        <w:t xml:space="preserve">boriginals </w:t>
      </w:r>
      <w:r w:rsidR="00747826">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Canada are challenged with poor working situations (Smylie &amp; Firestone, 2016). For instance, in many local working situations, the workplace, equipment and machines are poorly maintained. The working </w:t>
      </w:r>
      <w:r>
        <w:rPr>
          <w:rFonts w:ascii="Times New Roman" w:eastAsia="Times New Roman" w:hAnsi="Times New Roman" w:cs="Times New Roman"/>
          <w:sz w:val="24"/>
          <w:szCs w:val="24"/>
        </w:rPr>
        <w:lastRenderedPageBreak/>
        <w:t>environments have poor ventilation, lighting, and high temperatures. The poor working conditions gives limited control over the working conditions thus propagating stress and risks related to health. This has significant effects on their mental, social, and physical well-being.</w:t>
      </w:r>
    </w:p>
    <w:p w:rsidR="00724DDD" w:rsidRDefault="00194C39">
      <w:pPr>
        <w:spacing w:line="480" w:lineRule="auto"/>
        <w:ind w:firstLine="72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Individual character and behavior.</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Personality takes a central role in dictating one’s health. It captures economic, social, and environmental choices that individuals make concerning their health. In this way, individuals have the fundamental role to defend against diseases, allow for self-care and self-reliance, and also solve problems attached to their health. Among the Canadian Indigenous populations, over 80% of the people are smokers, and this has led to the continued existence of diseases such as cancer, which lead to death. Moreover, the communities have exhibited multiple risk-taking behaviors which include alcohol and drug abuse resulting in unsafe sex and reckless driving, especially among the young populations. Eating habits are another facet of human behavior that define health (Greenwood, 2015). As outlined earlier, the Indigenous communities of Canada are poorly endowed with education, and hence the majority of them do not know the rationale behind healthy diets. This has allowed for the dominance of diseases like marasmus and obesity.</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Arguably, the above factors are sufficient determinants of health; however, other scholars argue that that the health of the Indigenous people of Canada is only determined by social policing, historical aspects and urban development, conflicts and health differences across gender. Concerning social policing, when the government </w:t>
      </w:r>
      <w:r w:rsidR="00EF42B9">
        <w:rPr>
          <w:rFonts w:ascii="Times New Roman" w:eastAsia="Times New Roman" w:hAnsi="Times New Roman" w:cs="Times New Roman"/>
          <w:sz w:val="24"/>
          <w:szCs w:val="24"/>
        </w:rPr>
        <w:t xml:space="preserve">formulates </w:t>
      </w:r>
      <w:r>
        <w:rPr>
          <w:rFonts w:ascii="Times New Roman" w:eastAsia="Times New Roman" w:hAnsi="Times New Roman" w:cs="Times New Roman"/>
          <w:sz w:val="24"/>
          <w:szCs w:val="24"/>
        </w:rPr>
        <w:t xml:space="preserve">responsive health care regulations, the population is likely to have better health. Social policy has the responsibility to address factors that challenge the social wellbeing of a community. Social policy seeks to combat poverty and unemployment through offering employment and better working conditions. </w:t>
      </w:r>
      <w:r>
        <w:rPr>
          <w:rFonts w:ascii="Times New Roman" w:eastAsia="Times New Roman" w:hAnsi="Times New Roman" w:cs="Times New Roman"/>
          <w:sz w:val="24"/>
          <w:szCs w:val="24"/>
        </w:rPr>
        <w:lastRenderedPageBreak/>
        <w:t>In addition to this, social policy has the responsibility to impact on food security, health services, education, and better working conditions through legislation (De Leeuw et al., 2015). With this understanding, the indigenous population of Canada is featured with poor health standards because there are no effective public and social policies to upgrade these standards. In this way, the indigenous people lack literacy initiatives, functional income and poverty reduction strategies, and promotional food policies. Also, the populations require timely care as a result of poor resource management and inaccessible health services. Lack of comprehensive social policies amid the populace has led to the occurrence of major depression in Canada among the Indigenous people, thus negative health status.</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Canadian scholars have also exclaimed that historical legacies of colonization have lingering social and structural contributions to the health status of the indigenous communities. As evident, colonial milestones led to high levels of discrimination and this has time and aga</w:t>
      </w:r>
      <w:r w:rsidR="00EF42B9">
        <w:rPr>
          <w:rFonts w:ascii="Times New Roman" w:eastAsia="Times New Roman" w:hAnsi="Times New Roman" w:cs="Times New Roman"/>
          <w:sz w:val="24"/>
          <w:szCs w:val="24"/>
        </w:rPr>
        <w:t>in perpetuated inequalities amo</w:t>
      </w:r>
      <w:r>
        <w:rPr>
          <w:rFonts w:ascii="Times New Roman" w:eastAsia="Times New Roman" w:hAnsi="Times New Roman" w:cs="Times New Roman"/>
          <w:sz w:val="24"/>
          <w:szCs w:val="24"/>
        </w:rPr>
        <w:t>ng the urban and rural populations. In other words, colonialism introduced social differences among the people of different race.</w:t>
      </w:r>
    </w:p>
    <w:p w:rsidR="00D8228B"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1867, colonies only offered </w:t>
      </w:r>
      <w:r w:rsidR="00747826">
        <w:rPr>
          <w:rFonts w:ascii="Times New Roman" w:eastAsia="Times New Roman" w:hAnsi="Times New Roman" w:cs="Times New Roman"/>
          <w:sz w:val="24"/>
          <w:szCs w:val="24"/>
        </w:rPr>
        <w:t>good</w:t>
      </w:r>
      <w:r w:rsidR="00D8228B">
        <w:rPr>
          <w:rFonts w:ascii="Times New Roman" w:eastAsia="Times New Roman" w:hAnsi="Times New Roman" w:cs="Times New Roman"/>
          <w:sz w:val="24"/>
          <w:szCs w:val="24"/>
        </w:rPr>
        <w:t xml:space="preserve"> social services at settler farms </w:t>
      </w:r>
      <w:r>
        <w:rPr>
          <w:rFonts w:ascii="Times New Roman" w:eastAsia="Times New Roman" w:hAnsi="Times New Roman" w:cs="Times New Roman"/>
          <w:sz w:val="24"/>
          <w:szCs w:val="24"/>
        </w:rPr>
        <w:t xml:space="preserve">with little consideration to the indigenous populations. Hospitals and education centers were only located in urban centers and this is has still not been fully addressed in modern Canada. </w:t>
      </w:r>
      <w:r w:rsidR="00E6477D" w:rsidRPr="00E6477D">
        <w:rPr>
          <w:rFonts w:ascii="Times New Roman" w:eastAsia="Times New Roman" w:hAnsi="Times New Roman" w:cs="Times New Roman"/>
          <w:sz w:val="24"/>
          <w:szCs w:val="24"/>
          <w:highlight w:val="yellow"/>
        </w:rPr>
        <w:t xml:space="preserve">Also, colonialism was characterized by invasion, dislocation and confinement of Aboriginals in Canada. This was accompanied by European settler expansion processes oriented to the lands occupied by Indigenous people. From this perspective, colonial policies and legislations endure challenges to the Aboriginal families and community at large. The Aboriginal reserves had jurisdictional complications which led to limited service access as well as continues displacement of people from their traditional lands, hunting and fishing states and water rights. </w:t>
      </w:r>
      <w:r w:rsidR="00E6477D" w:rsidRPr="00E6477D">
        <w:rPr>
          <w:rFonts w:ascii="Times New Roman" w:eastAsia="Times New Roman" w:hAnsi="Times New Roman" w:cs="Times New Roman"/>
          <w:sz w:val="24"/>
          <w:szCs w:val="24"/>
          <w:highlight w:val="yellow"/>
        </w:rPr>
        <w:lastRenderedPageBreak/>
        <w:t>This complexity defined the patterns of settlement. These colonial legacies continue to restrict services offered by the federal government.</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urbanization takes a broader scope in predicting the health status of a community. If a community is located in urban areas, it has higher changes of improved health status, unlike indigenous populations. According to De Leeuw et al. (2015), urbanization defines income, health services, education, proper housing, better working conditions, social inclusion and food security, which are critical determinants of the health and social life of an individual. The basis of this argument is that if a community is located in remote regions, poor health status is attached as a result of food insecurity, inadequate housing, income inequality, and other factors that are socially responsible for determining the health. </w:t>
      </w:r>
    </w:p>
    <w:p w:rsidR="00724DDD" w:rsidRDefault="00194C39">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Gender difference is also a significant determinant of the health of Indigenous people of Canada (Raphael, 2016). </w:t>
      </w:r>
      <w:r>
        <w:rPr>
          <w:rFonts w:ascii="Times New Roman" w:eastAsia="Times New Roman" w:hAnsi="Times New Roman" w:cs="Times New Roman"/>
          <w:sz w:val="24"/>
          <w:szCs w:val="24"/>
          <w:highlight w:val="white"/>
        </w:rPr>
        <w:t>L</w:t>
      </w:r>
      <w:r>
        <w:rPr>
          <w:rFonts w:ascii="Times New Roman" w:eastAsia="Times New Roman" w:hAnsi="Times New Roman" w:cs="Times New Roman"/>
          <w:sz w:val="24"/>
          <w:szCs w:val="24"/>
        </w:rPr>
        <w:t>ife expectancy in Canada cuts across genders. The changing patterns of behavior such as smoking and drug abuse are more evident among men than women. Researchers have identified that ladies are more precautionary when selecting meals than men. Canadian men engage more in physical activities than women</w:t>
      </w:r>
      <w:r w:rsidR="00E647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According to this position, the health of a population can only be defined regarding social policy, historical milestones, urbanization, and health differences amid genders.</w:t>
      </w:r>
    </w:p>
    <w:p w:rsidR="00724DDD" w:rsidRDefault="00194C39">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sum up, Canada is one of the modern nations featured with the most controversial health sector. As discussed above, the wellbeing of Canada’s Indigenous people is linked to a range of evident social inequalities such as food insecurity, poor education, and income disparities. From a critical point of view, the determinants of Indigenous health in Canada can be </w:t>
      </w:r>
      <w:r>
        <w:rPr>
          <w:rFonts w:ascii="Times New Roman" w:eastAsia="Times New Roman" w:hAnsi="Times New Roman" w:cs="Times New Roman"/>
          <w:sz w:val="24"/>
          <w:szCs w:val="24"/>
        </w:rPr>
        <w:lastRenderedPageBreak/>
        <w:t xml:space="preserve">sanctioned into three aspects: social-economic environments, physical environments, and individual behavior. The socio-economic factors include education, food and agricultural security, income and social status, infrastructure, access to health services, better working environments, gender, and culture. Physical environment captures housing, waste preservation, safe water and clean </w:t>
      </w:r>
      <w:r w:rsidRPr="00E6477D">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ir, </w:t>
      </w:r>
      <w:r w:rsidRPr="00E6477D">
        <w:rPr>
          <w:rFonts w:ascii="Times New Roman" w:eastAsia="Times New Roman" w:hAnsi="Times New Roman" w:cs="Times New Roman"/>
          <w:sz w:val="24"/>
          <w:szCs w:val="24"/>
        </w:rPr>
        <w:t>working environment and healthy communities</w:t>
      </w:r>
      <w:r>
        <w:rPr>
          <w:rFonts w:ascii="Times New Roman" w:eastAsia="Times New Roman" w:hAnsi="Times New Roman" w:cs="Times New Roman"/>
          <w:sz w:val="24"/>
          <w:szCs w:val="24"/>
        </w:rPr>
        <w:t xml:space="preserve">.  Individual behavior and character are subject to gender, </w:t>
      </w:r>
      <w:r w:rsidRPr="00E6477D">
        <w:rPr>
          <w:rFonts w:ascii="Times New Roman" w:eastAsia="Times New Roman" w:hAnsi="Times New Roman" w:cs="Times New Roman"/>
          <w:sz w:val="24"/>
          <w:szCs w:val="24"/>
        </w:rPr>
        <w:t>culture</w:t>
      </w:r>
      <w:r>
        <w:rPr>
          <w:rFonts w:ascii="Times New Roman" w:eastAsia="Times New Roman" w:hAnsi="Times New Roman" w:cs="Times New Roman"/>
          <w:sz w:val="24"/>
          <w:szCs w:val="24"/>
        </w:rPr>
        <w:t>, personality, and coping skills. However, some contradicting arguments claim that the health of Indigenous Canadians can only be defined by social policy, historical legacies, urban developments, and the apparent disparities among men and women.</w:t>
      </w:r>
    </w:p>
    <w:p w:rsidR="00724DDD" w:rsidRDefault="00194C3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Evidently, many researchers support the three factors of social-economic environments, physical environments, human behaviour and character as the primary determinants of health among the indigenous populations in Canada and I also support this assertion. Each element has many underlying factors that widely explain the well-being of every member of the Indigenous communities. These populations have been challenged with lasting social disparities, and hence the government has a broader role to play in addressing all the health threats to Indigenous people. By so doing, the country will encounter better health services, increased food security, better access to education, reduced income disparities and social status as well. In addition, active social policies should be formulated and effected to cultivate changes in the social life of Indigenous population’s thus recording good health.</w:t>
      </w:r>
      <w:r>
        <w:rPr>
          <w:rFonts w:ascii="Times New Roman" w:eastAsia="Times New Roman" w:hAnsi="Times New Roman" w:cs="Times New Roman"/>
          <w:sz w:val="24"/>
          <w:szCs w:val="24"/>
        </w:rPr>
        <w:br/>
      </w:r>
    </w:p>
    <w:p w:rsidR="00724DDD" w:rsidRDefault="00724DDD">
      <w:pPr>
        <w:spacing w:line="480" w:lineRule="auto"/>
        <w:rPr>
          <w:rFonts w:ascii="Times New Roman" w:eastAsia="Times New Roman" w:hAnsi="Times New Roman" w:cs="Times New Roman"/>
          <w:sz w:val="24"/>
          <w:szCs w:val="24"/>
        </w:rPr>
      </w:pPr>
    </w:p>
    <w:p w:rsidR="00724DDD" w:rsidRDefault="00724DDD">
      <w:pPr>
        <w:spacing w:line="480" w:lineRule="auto"/>
        <w:rPr>
          <w:rFonts w:ascii="Times New Roman" w:eastAsia="Times New Roman" w:hAnsi="Times New Roman" w:cs="Times New Roman"/>
          <w:sz w:val="24"/>
          <w:szCs w:val="24"/>
        </w:rPr>
      </w:pPr>
    </w:p>
    <w:p w:rsidR="00724DDD" w:rsidRDefault="00194C3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 Leeuw, S., Lindsay, N. M., Greenwood, M., &amp; Reading, C. (2015). Rethinking determinants of indigenous peoples' health in Canada. </w:t>
      </w:r>
      <w:r>
        <w:rPr>
          <w:rFonts w:ascii="Times New Roman" w:eastAsia="Times New Roman" w:hAnsi="Times New Roman" w:cs="Times New Roman"/>
          <w:i/>
          <w:color w:val="222222"/>
          <w:sz w:val="24"/>
          <w:szCs w:val="24"/>
          <w:highlight w:val="white"/>
        </w:rPr>
        <w:t>Determinants of Indigenous peoples' health in Canada: Beyond the social</w:t>
      </w:r>
      <w:r>
        <w:rPr>
          <w:rFonts w:ascii="Times New Roman" w:eastAsia="Times New Roman" w:hAnsi="Times New Roman" w:cs="Times New Roman"/>
          <w:color w:val="222222"/>
          <w:sz w:val="24"/>
          <w:szCs w:val="24"/>
          <w:highlight w:val="white"/>
        </w:rPr>
        <w:t>, xi-xxvii.</w:t>
      </w:r>
    </w:p>
    <w:p w:rsidR="00724DDD" w:rsidRDefault="00194C39">
      <w:pPr>
        <w:shd w:val="clear" w:color="auto" w:fill="FFFFFF"/>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Greenwood, M., De, L. S., In Lindsay, N. M., &amp; Reading, C. (2015). </w:t>
      </w:r>
      <w:r>
        <w:rPr>
          <w:rFonts w:ascii="Times New Roman" w:eastAsia="Times New Roman" w:hAnsi="Times New Roman" w:cs="Times New Roman"/>
          <w:i/>
          <w:sz w:val="24"/>
          <w:szCs w:val="24"/>
        </w:rPr>
        <w:t>Determinants of indigenous peoples' health in Canada: Beyond the social</w:t>
      </w:r>
      <w:r>
        <w:rPr>
          <w:rFonts w:ascii="Times New Roman" w:eastAsia="Times New Roman" w:hAnsi="Times New Roman" w:cs="Times New Roman"/>
          <w:sz w:val="24"/>
          <w:szCs w:val="24"/>
        </w:rPr>
        <w:t>.</w:t>
      </w:r>
    </w:p>
    <w:p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Neufeld, H. T. (2017). Determinants of Indigenous Peoples’ Health in Canada: Beyond the Social. </w:t>
      </w:r>
      <w:r>
        <w:rPr>
          <w:rFonts w:ascii="Times New Roman" w:eastAsia="Times New Roman" w:hAnsi="Times New Roman" w:cs="Times New Roman"/>
          <w:i/>
          <w:color w:val="222222"/>
          <w:sz w:val="24"/>
          <w:szCs w:val="24"/>
          <w:highlight w:val="white"/>
        </w:rPr>
        <w:t>Canadian Studies in Population</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44</w:t>
      </w:r>
      <w:r>
        <w:rPr>
          <w:rFonts w:ascii="Times New Roman" w:eastAsia="Times New Roman" w:hAnsi="Times New Roman" w:cs="Times New Roman"/>
          <w:color w:val="222222"/>
          <w:sz w:val="24"/>
          <w:szCs w:val="24"/>
          <w:highlight w:val="white"/>
        </w:rPr>
        <w:t>(1-2), 108-109.</w:t>
      </w:r>
    </w:p>
    <w:p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highlight w:val="white"/>
        </w:rPr>
        <w:t>Raphael, D. (2016). </w:t>
      </w:r>
      <w:r>
        <w:rPr>
          <w:rFonts w:ascii="Times New Roman" w:eastAsia="Times New Roman" w:hAnsi="Times New Roman" w:cs="Times New Roman"/>
          <w:i/>
          <w:sz w:val="24"/>
          <w:szCs w:val="24"/>
          <w:highlight w:val="white"/>
        </w:rPr>
        <w:t>Social determinants of health: Canadian perspectives</w:t>
      </w:r>
      <w:r>
        <w:rPr>
          <w:rFonts w:ascii="Times New Roman" w:eastAsia="Times New Roman" w:hAnsi="Times New Roman" w:cs="Times New Roman"/>
          <w:sz w:val="24"/>
          <w:szCs w:val="24"/>
          <w:highlight w:val="white"/>
        </w:rPr>
        <w:t>.</w:t>
      </w:r>
    </w:p>
    <w:p w:rsidR="00724DDD" w:rsidRDefault="00194C39">
      <w:pPr>
        <w:spacing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Smylie, J., &amp; Firestone, M. (2016). The health of indigenous peoples. </w:t>
      </w:r>
      <w:r>
        <w:rPr>
          <w:rFonts w:ascii="Times New Roman" w:eastAsia="Times New Roman" w:hAnsi="Times New Roman" w:cs="Times New Roman"/>
          <w:i/>
          <w:color w:val="222222"/>
          <w:sz w:val="24"/>
          <w:szCs w:val="24"/>
          <w:highlight w:val="white"/>
        </w:rPr>
        <w:t>D. Raphael (3rd ed.) Social determinants of health: Canadian perspective</w:t>
      </w:r>
      <w:r>
        <w:rPr>
          <w:rFonts w:ascii="Times New Roman" w:eastAsia="Times New Roman" w:hAnsi="Times New Roman" w:cs="Times New Roman"/>
          <w:color w:val="222222"/>
          <w:sz w:val="24"/>
          <w:szCs w:val="24"/>
          <w:highlight w:val="white"/>
        </w:rPr>
        <w:t>, 434-469.</w:t>
      </w:r>
    </w:p>
    <w:sectPr w:rsidR="00724DDD" w:rsidSect="005131DC">
      <w:headerReference w:type="default" r:id="rId6"/>
      <w:headerReference w:type="first" r:id="rId7"/>
      <w:pgSz w:w="12240" w:h="15840"/>
      <w:pgMar w:top="1584"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18EE" w:rsidRDefault="001418EE">
      <w:pPr>
        <w:spacing w:after="0" w:line="240" w:lineRule="auto"/>
      </w:pPr>
      <w:r>
        <w:separator/>
      </w:r>
    </w:p>
  </w:endnote>
  <w:endnote w:type="continuationSeparator" w:id="1">
    <w:p w:rsidR="001418EE" w:rsidRDefault="001418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18EE" w:rsidRDefault="001418EE">
      <w:pPr>
        <w:spacing w:after="0" w:line="240" w:lineRule="auto"/>
      </w:pPr>
      <w:r>
        <w:separator/>
      </w:r>
    </w:p>
  </w:footnote>
  <w:footnote w:type="continuationSeparator" w:id="1">
    <w:p w:rsidR="001418EE" w:rsidRDefault="001418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DD" w:rsidRDefault="00194C39">
    <w:pPr>
      <w:tabs>
        <w:tab w:val="center" w:pos="4680"/>
        <w:tab w:val="right" w:pos="93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DETERMINANTS OF INDIGENOUS PEOPLE’S HEALTH IN CANADA.</w:t>
    </w:r>
    <w:r>
      <w:rPr>
        <w:rFonts w:ascii="Times New Roman" w:eastAsia="Times New Roman" w:hAnsi="Times New Roman" w:cs="Times New Roman"/>
        <w:sz w:val="24"/>
        <w:szCs w:val="24"/>
      </w:rPr>
      <w:tab/>
    </w:r>
    <w:r w:rsidR="00642BC7">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642BC7">
      <w:rPr>
        <w:rFonts w:ascii="Times New Roman" w:eastAsia="Times New Roman" w:hAnsi="Times New Roman" w:cs="Times New Roman"/>
        <w:sz w:val="24"/>
        <w:szCs w:val="24"/>
      </w:rPr>
      <w:fldChar w:fldCharType="separate"/>
    </w:r>
    <w:r w:rsidR="00747826">
      <w:rPr>
        <w:rFonts w:ascii="Times New Roman" w:eastAsia="Times New Roman" w:hAnsi="Times New Roman" w:cs="Times New Roman"/>
        <w:noProof/>
        <w:sz w:val="24"/>
        <w:szCs w:val="24"/>
      </w:rPr>
      <w:t>2</w:t>
    </w:r>
    <w:r w:rsidR="00642BC7">
      <w:rPr>
        <w:rFonts w:ascii="Times New Roman" w:eastAsia="Times New Roman" w:hAnsi="Times New Roman" w:cs="Times New Roman"/>
        <w:sz w:val="24"/>
        <w:szCs w:val="24"/>
      </w:rPr>
      <w:fldChar w:fldCharType="end"/>
    </w:r>
  </w:p>
  <w:p w:rsidR="00724DDD" w:rsidRDefault="00724DDD">
    <w:pPr>
      <w:tabs>
        <w:tab w:val="center" w:pos="4680"/>
        <w:tab w:val="right" w:pos="9360"/>
      </w:tabs>
      <w:spacing w:after="0" w:line="240" w:lineRule="auto"/>
      <w:rPr>
        <w:rFonts w:ascii="Times New Roman" w:eastAsia="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DD" w:rsidRDefault="00194C39">
    <w:pPr>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Head: DETERMINANTS OF INDIGENOUS PEOPLE’S HEALTH IN CANADA.</w:t>
    </w:r>
    <w:r w:rsidR="00642BC7">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642BC7">
      <w:rPr>
        <w:rFonts w:ascii="Times New Roman" w:eastAsia="Times New Roman" w:hAnsi="Times New Roman" w:cs="Times New Roman"/>
        <w:sz w:val="24"/>
        <w:szCs w:val="24"/>
      </w:rPr>
      <w:fldChar w:fldCharType="separate"/>
    </w:r>
    <w:r w:rsidR="00747826">
      <w:rPr>
        <w:rFonts w:ascii="Times New Roman" w:eastAsia="Times New Roman" w:hAnsi="Times New Roman" w:cs="Times New Roman"/>
        <w:noProof/>
        <w:sz w:val="24"/>
        <w:szCs w:val="24"/>
      </w:rPr>
      <w:t>1</w:t>
    </w:r>
    <w:r w:rsidR="00642BC7">
      <w:rPr>
        <w:rFonts w:ascii="Times New Roman" w:eastAsia="Times New Roman" w:hAnsi="Times New Roman" w:cs="Times New Roman"/>
        <w:sz w:val="24"/>
        <w:szCs w:val="24"/>
      </w:rPr>
      <w:fldChar w:fldCharType="end"/>
    </w:r>
  </w:p>
  <w:p w:rsidR="00724DDD" w:rsidRDefault="00724DDD">
    <w:pPr>
      <w:tabs>
        <w:tab w:val="center" w:pos="4680"/>
        <w:tab w:val="right" w:pos="9360"/>
      </w:tabs>
      <w:spacing w:after="0" w:line="240" w:lineRule="auto"/>
      <w:rPr>
        <w:rFonts w:ascii="Times New Roman" w:eastAsia="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4DDD"/>
    <w:rsid w:val="001418EE"/>
    <w:rsid w:val="00194C39"/>
    <w:rsid w:val="00465560"/>
    <w:rsid w:val="005131DC"/>
    <w:rsid w:val="00594410"/>
    <w:rsid w:val="00637324"/>
    <w:rsid w:val="00642BC7"/>
    <w:rsid w:val="00724DDD"/>
    <w:rsid w:val="00747826"/>
    <w:rsid w:val="00827481"/>
    <w:rsid w:val="00B1755C"/>
    <w:rsid w:val="00D8228B"/>
    <w:rsid w:val="00DB5EA6"/>
    <w:rsid w:val="00E6477D"/>
    <w:rsid w:val="00EF42B9"/>
    <w:rsid w:val="00F72C94"/>
    <w:rsid w:val="00FF5E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131DC"/>
  </w:style>
  <w:style w:type="paragraph" w:styleId="Heading1">
    <w:name w:val="heading 1"/>
    <w:basedOn w:val="Normal"/>
    <w:next w:val="Normal"/>
    <w:rsid w:val="005131DC"/>
    <w:pPr>
      <w:keepNext/>
      <w:keepLines/>
      <w:spacing w:before="480" w:after="120"/>
      <w:outlineLvl w:val="0"/>
    </w:pPr>
    <w:rPr>
      <w:b/>
      <w:sz w:val="48"/>
      <w:szCs w:val="48"/>
    </w:rPr>
  </w:style>
  <w:style w:type="paragraph" w:styleId="Heading2">
    <w:name w:val="heading 2"/>
    <w:basedOn w:val="Normal"/>
    <w:next w:val="Normal"/>
    <w:rsid w:val="005131DC"/>
    <w:pPr>
      <w:keepNext/>
      <w:keepLines/>
      <w:spacing w:before="360" w:after="80"/>
      <w:outlineLvl w:val="1"/>
    </w:pPr>
    <w:rPr>
      <w:b/>
      <w:sz w:val="36"/>
      <w:szCs w:val="36"/>
    </w:rPr>
  </w:style>
  <w:style w:type="paragraph" w:styleId="Heading3">
    <w:name w:val="heading 3"/>
    <w:basedOn w:val="Normal"/>
    <w:next w:val="Normal"/>
    <w:rsid w:val="005131DC"/>
    <w:pPr>
      <w:keepNext/>
      <w:keepLines/>
      <w:spacing w:before="280" w:after="80"/>
      <w:outlineLvl w:val="2"/>
    </w:pPr>
    <w:rPr>
      <w:b/>
      <w:sz w:val="28"/>
      <w:szCs w:val="28"/>
    </w:rPr>
  </w:style>
  <w:style w:type="paragraph" w:styleId="Heading4">
    <w:name w:val="heading 4"/>
    <w:basedOn w:val="Normal"/>
    <w:next w:val="Normal"/>
    <w:rsid w:val="005131DC"/>
    <w:pPr>
      <w:keepNext/>
      <w:keepLines/>
      <w:spacing w:before="240" w:after="40"/>
      <w:outlineLvl w:val="3"/>
    </w:pPr>
    <w:rPr>
      <w:b/>
      <w:sz w:val="24"/>
      <w:szCs w:val="24"/>
    </w:rPr>
  </w:style>
  <w:style w:type="paragraph" w:styleId="Heading5">
    <w:name w:val="heading 5"/>
    <w:basedOn w:val="Normal"/>
    <w:next w:val="Normal"/>
    <w:rsid w:val="005131DC"/>
    <w:pPr>
      <w:keepNext/>
      <w:keepLines/>
      <w:spacing w:before="220" w:after="40"/>
      <w:outlineLvl w:val="4"/>
    </w:pPr>
    <w:rPr>
      <w:b/>
    </w:rPr>
  </w:style>
  <w:style w:type="paragraph" w:styleId="Heading6">
    <w:name w:val="heading 6"/>
    <w:basedOn w:val="Normal"/>
    <w:next w:val="Normal"/>
    <w:rsid w:val="005131D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131DC"/>
    <w:pPr>
      <w:keepNext/>
      <w:keepLines/>
      <w:spacing w:before="480" w:after="120"/>
    </w:pPr>
    <w:rPr>
      <w:b/>
      <w:sz w:val="72"/>
      <w:szCs w:val="72"/>
    </w:rPr>
  </w:style>
  <w:style w:type="paragraph" w:styleId="Subtitle">
    <w:name w:val="Subtitle"/>
    <w:basedOn w:val="Normal"/>
    <w:next w:val="Normal"/>
    <w:rsid w:val="005131DC"/>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FF5EEE"/>
    <w:rPr>
      <w:sz w:val="16"/>
      <w:szCs w:val="16"/>
    </w:rPr>
  </w:style>
  <w:style w:type="paragraph" w:styleId="CommentText">
    <w:name w:val="annotation text"/>
    <w:basedOn w:val="Normal"/>
    <w:link w:val="CommentTextChar"/>
    <w:uiPriority w:val="99"/>
    <w:semiHidden/>
    <w:unhideWhenUsed/>
    <w:rsid w:val="00FF5EEE"/>
    <w:pPr>
      <w:spacing w:line="240" w:lineRule="auto"/>
    </w:pPr>
    <w:rPr>
      <w:sz w:val="20"/>
      <w:szCs w:val="20"/>
    </w:rPr>
  </w:style>
  <w:style w:type="character" w:customStyle="1" w:styleId="CommentTextChar">
    <w:name w:val="Comment Text Char"/>
    <w:basedOn w:val="DefaultParagraphFont"/>
    <w:link w:val="CommentText"/>
    <w:uiPriority w:val="99"/>
    <w:semiHidden/>
    <w:rsid w:val="00FF5EEE"/>
    <w:rPr>
      <w:sz w:val="20"/>
      <w:szCs w:val="20"/>
    </w:rPr>
  </w:style>
  <w:style w:type="paragraph" w:styleId="CommentSubject">
    <w:name w:val="annotation subject"/>
    <w:basedOn w:val="CommentText"/>
    <w:next w:val="CommentText"/>
    <w:link w:val="CommentSubjectChar"/>
    <w:uiPriority w:val="99"/>
    <w:semiHidden/>
    <w:unhideWhenUsed/>
    <w:rsid w:val="00FF5EEE"/>
    <w:rPr>
      <w:b/>
      <w:bCs/>
    </w:rPr>
  </w:style>
  <w:style w:type="character" w:customStyle="1" w:styleId="CommentSubjectChar">
    <w:name w:val="Comment Subject Char"/>
    <w:basedOn w:val="CommentTextChar"/>
    <w:link w:val="CommentSubject"/>
    <w:uiPriority w:val="99"/>
    <w:semiHidden/>
    <w:rsid w:val="00FF5EEE"/>
    <w:rPr>
      <w:b/>
      <w:bCs/>
      <w:sz w:val="20"/>
      <w:szCs w:val="20"/>
    </w:rPr>
  </w:style>
  <w:style w:type="paragraph" w:styleId="BalloonText">
    <w:name w:val="Balloon Text"/>
    <w:basedOn w:val="Normal"/>
    <w:link w:val="BalloonTextChar"/>
    <w:uiPriority w:val="99"/>
    <w:semiHidden/>
    <w:unhideWhenUsed/>
    <w:rsid w:val="00FF5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EE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2685</Words>
  <Characters>15310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Hashim Sharif</dc:creator>
  <cp:lastModifiedBy>ADM</cp:lastModifiedBy>
  <cp:revision>2</cp:revision>
  <dcterms:created xsi:type="dcterms:W3CDTF">2018-03-29T14:26:00Z</dcterms:created>
  <dcterms:modified xsi:type="dcterms:W3CDTF">2018-03-29T14:26:00Z</dcterms:modified>
</cp:coreProperties>
</file>